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510" w:rsidRPr="000D08B5" w:rsidRDefault="00D81B2C" w:rsidP="004B21A9">
      <w:pPr>
        <w:pStyle w:val="Heading110"/>
        <w:shd w:val="clear" w:color="auto" w:fill="auto"/>
        <w:spacing w:after="0"/>
        <w:jc w:val="center"/>
        <w:rPr>
          <w:lang w:val="en-GB"/>
        </w:rPr>
      </w:pPr>
      <w:bookmarkStart w:id="0" w:name="bookmark0"/>
      <w:bookmarkStart w:id="1" w:name="_GoBack"/>
      <w:bookmarkEnd w:id="1"/>
      <w:r w:rsidRPr="000D08B5">
        <w:rPr>
          <w:lang w:bidi="mk-MK"/>
        </w:rPr>
        <w:t>Симулација на климатска акција: Индустрија и трговија</w:t>
      </w:r>
      <w:bookmarkEnd w:id="0"/>
    </w:p>
    <w:p w:rsidR="006D1734" w:rsidRPr="000D08B5" w:rsidRDefault="006D1734" w:rsidP="004B21A9">
      <w:pPr>
        <w:pStyle w:val="Heading110"/>
        <w:shd w:val="clear" w:color="auto" w:fill="auto"/>
        <w:spacing w:after="0"/>
        <w:jc w:val="both"/>
        <w:rPr>
          <w:lang w:val="en-GB"/>
        </w:rPr>
      </w:pPr>
    </w:p>
    <w:p w:rsidR="00097510" w:rsidRPr="000D08B5" w:rsidRDefault="00D81B2C">
      <w:pPr>
        <w:pStyle w:val="Bodytext30"/>
        <w:pBdr>
          <w:top w:val="single" w:sz="4" w:space="1" w:color="auto"/>
        </w:pBdr>
        <w:shd w:val="clear" w:color="auto" w:fill="auto"/>
        <w:tabs>
          <w:tab w:val="left" w:pos="1440"/>
        </w:tabs>
        <w:spacing w:before="0"/>
        <w:rPr>
          <w:lang w:val="en-GB"/>
        </w:rPr>
      </w:pPr>
      <w:r w:rsidRPr="000D08B5">
        <w:rPr>
          <w:lang w:bidi="mk-MK"/>
        </w:rPr>
        <w:t>До:</w:t>
      </w:r>
      <w:r w:rsidRPr="000D08B5">
        <w:rPr>
          <w:lang w:bidi="mk-MK"/>
        </w:rPr>
        <w:tab/>
        <w:t>Главни преговарачи од индустријата и трговијата</w:t>
      </w:r>
    </w:p>
    <w:p w:rsidR="00097510" w:rsidRPr="000D08B5" w:rsidRDefault="00D81B2C">
      <w:pPr>
        <w:pStyle w:val="Bodytext30"/>
        <w:shd w:val="clear" w:color="auto" w:fill="auto"/>
        <w:tabs>
          <w:tab w:val="left" w:pos="1440"/>
        </w:tabs>
        <w:spacing w:before="0" w:after="120"/>
        <w:rPr>
          <w:lang w:val="en-GB"/>
        </w:rPr>
      </w:pPr>
      <w:r w:rsidRPr="000D08B5">
        <w:rPr>
          <w:lang w:bidi="mk-MK"/>
        </w:rPr>
        <w:t>Предмет:</w:t>
      </w:r>
      <w:r w:rsidRPr="000D08B5">
        <w:rPr>
          <w:lang w:bidi="mk-MK"/>
        </w:rPr>
        <w:tab/>
        <w:t>Подготовка за Самитот за климатска акција</w:t>
      </w:r>
    </w:p>
    <w:p w:rsidR="00097510" w:rsidRPr="000D08B5" w:rsidRDefault="00D81B2C" w:rsidP="004B21A9">
      <w:pPr>
        <w:pStyle w:val="Bodytext20"/>
        <w:shd w:val="clear" w:color="auto" w:fill="auto"/>
        <w:spacing w:before="0"/>
        <w:ind w:firstLine="0"/>
        <w:jc w:val="both"/>
      </w:pPr>
      <w:r w:rsidRPr="000D08B5">
        <w:rPr>
          <w:lang w:bidi="mk-MK"/>
        </w:rPr>
        <w:t xml:space="preserve">Добре дојдовте на Самитот за климатска акција. Вие и лидерите од сите релевантни засегнати страни сте поканети од страна на Генералниот секретар на ООН за заедно да работите на успешно решавање на климатските промени. Во поканата, Генералниот секретар </w:t>
      </w:r>
      <w:r w:rsidRPr="000D08B5">
        <w:rPr>
          <w:rStyle w:val="Bodytext21"/>
          <w:lang w:val="mk-MK" w:bidi="mk-MK"/>
        </w:rPr>
        <w:t>го истакнува</w:t>
      </w:r>
      <w:r w:rsidRPr="000D08B5">
        <w:rPr>
          <w:lang w:bidi="mk-MK"/>
        </w:rPr>
        <w:t xml:space="preserve"> следното: „Кризната ситуација со климата е трка што ја губиме, но и трка што можеме да ја добиеме...Најдобрата наука…ни вели дека секакво зголемување на температурата над 1,5 Целзиусови степени ќе предизвика огромна и ненадоместлива штета кај екосистемите кои се наша потпора ... Но науката ни вели и дека не е доцна. Можеме да успееме... Меѓутоа, за тоа ќе бидат потребни фундаментални трансформации во сите аспекти на општеството - одгледувањето храна, користењето на земја, обезбедувањето горива за нашиот транспорт и енергија за нашите економии ... Со заедничкото дејствување, нема да изоставиме никого.“</w:t>
      </w:r>
    </w:p>
    <w:p w:rsidR="00097510" w:rsidRPr="000D08B5" w:rsidRDefault="00D81B2C" w:rsidP="004B21A9">
      <w:pPr>
        <w:pStyle w:val="Bodytext20"/>
        <w:shd w:val="clear" w:color="auto" w:fill="auto"/>
        <w:spacing w:before="0"/>
        <w:ind w:firstLine="0"/>
        <w:jc w:val="both"/>
      </w:pPr>
      <w:r w:rsidRPr="000D08B5">
        <w:rPr>
          <w:lang w:bidi="mk-MK"/>
        </w:rPr>
        <w:t xml:space="preserve">Целта на самитот е да се изработи план за ограничување на глобалното затоплување на помалку од 2 Целзиусови степени [3,6 Фаренхајтови степени] над пред-индустриските нивоа и да се стремиме кон 1,5 Целзиусови степени [2,7 Фаренхајтови степени], меѓународните цели кои се формално потврдени во Парискиот договор за клима. </w:t>
      </w:r>
      <w:r w:rsidRPr="000D08B5">
        <w:rPr>
          <w:rStyle w:val="Bodytext21"/>
          <w:lang w:val="mk-MK" w:bidi="mk-MK"/>
        </w:rPr>
        <w:t xml:space="preserve">Научните докази </w:t>
      </w:r>
      <w:r w:rsidRPr="000D08B5">
        <w:rPr>
          <w:lang w:bidi="mk-MK"/>
        </w:rPr>
        <w:t>се јасни: затоплувањето над таа граница ќе предизвика катастрофални и неповратни ефекти кои се закана по здравјето, благосостојбата и животот на луѓето од сите нации.</w:t>
      </w:r>
    </w:p>
    <w:p w:rsidR="00097510" w:rsidRPr="000D08B5" w:rsidRDefault="00D81B2C" w:rsidP="004B21A9">
      <w:pPr>
        <w:pStyle w:val="Bodytext20"/>
        <w:shd w:val="clear" w:color="auto" w:fill="auto"/>
        <w:spacing w:before="0" w:after="140"/>
        <w:ind w:firstLine="0"/>
        <w:jc w:val="both"/>
      </w:pPr>
      <w:r w:rsidRPr="000D08B5">
        <w:rPr>
          <w:lang w:bidi="mk-MK"/>
        </w:rPr>
        <w:t>Вашата група вклучува главни извршни директори од најголемите индустрии и корпорации во светот, кои се двигатели на потрошувачката на енергија, вклучувајќи ги следните: производители на автомобили, авиокомпании, испорака и шпедиција, производители на индустриски и потрошувачки добра, градежништво, станбени и комерцијални недвижности, потрошувачки производи, информатичка технологија и други големи корпорации.</w:t>
      </w:r>
    </w:p>
    <w:p w:rsidR="00097510" w:rsidRPr="000D08B5" w:rsidRDefault="00D81B2C">
      <w:pPr>
        <w:pStyle w:val="Bodytext20"/>
        <w:shd w:val="clear" w:color="auto" w:fill="auto"/>
        <w:spacing w:before="0" w:after="100" w:line="244" w:lineRule="exact"/>
        <w:ind w:firstLine="0"/>
        <w:jc w:val="both"/>
      </w:pPr>
      <w:r w:rsidRPr="000D08B5">
        <w:rPr>
          <w:lang w:bidi="mk-MK"/>
        </w:rPr>
        <w:t>Вашите приоритетни политики се наведени подолу. И покрај тоа, можете да предложите или да оспорите некоја од постоечките политики.</w:t>
      </w:r>
    </w:p>
    <w:p w:rsidR="00097510" w:rsidRPr="000D08B5" w:rsidRDefault="00D81B2C" w:rsidP="004B21A9">
      <w:pPr>
        <w:pStyle w:val="Bodytext20"/>
        <w:numPr>
          <w:ilvl w:val="0"/>
          <w:numId w:val="1"/>
        </w:numPr>
        <w:shd w:val="clear" w:color="auto" w:fill="auto"/>
        <w:tabs>
          <w:tab w:val="left" w:pos="362"/>
        </w:tabs>
        <w:spacing w:before="0"/>
        <w:ind w:left="400"/>
        <w:jc w:val="both"/>
      </w:pPr>
      <w:r w:rsidRPr="000D08B5">
        <w:rPr>
          <w:rStyle w:val="Bodytext2Bold"/>
          <w:lang w:val="mk-MK" w:bidi="mk-MK"/>
        </w:rPr>
        <w:t xml:space="preserve">Задржете ги цените на енергијата на ниско ниво. </w:t>
      </w:r>
      <w:r w:rsidRPr="000D08B5">
        <w:rPr>
          <w:lang w:bidi="mk-MK"/>
        </w:rPr>
        <w:t>Трошоците за производите ќе се зголемат ако се зголемат цените на енергијата, со што луѓето помалку ќе ги купуваат вашите производи. Одржувајте ги ниски цените на енергијата борејќи се против даноци на енергија и високи цени на јаглерод, а во исто време поддржувајте ги субвенциите за енергија. Размислете како политиките кои вие и другите групи ги предлагате, би влијаеле на цената на енергијата.</w:t>
      </w:r>
    </w:p>
    <w:p w:rsidR="00097510" w:rsidRPr="000D08B5" w:rsidRDefault="00D81B2C" w:rsidP="004B21A9">
      <w:pPr>
        <w:pStyle w:val="Bodytext20"/>
        <w:numPr>
          <w:ilvl w:val="0"/>
          <w:numId w:val="1"/>
        </w:numPr>
        <w:shd w:val="clear" w:color="auto" w:fill="auto"/>
        <w:tabs>
          <w:tab w:val="left" w:pos="362"/>
        </w:tabs>
        <w:spacing w:before="0"/>
        <w:ind w:left="400"/>
        <w:jc w:val="both"/>
      </w:pPr>
      <w:r w:rsidRPr="000D08B5">
        <w:rPr>
          <w:rStyle w:val="Bodytext2Bold"/>
          <w:lang w:val="mk-MK" w:bidi="mk-MK"/>
        </w:rPr>
        <w:t xml:space="preserve">Зголемете ја енергетската ефикасност на транспортот, објектите и индустријата. </w:t>
      </w:r>
      <w:r w:rsidRPr="000D08B5">
        <w:rPr>
          <w:lang w:bidi="mk-MK"/>
        </w:rPr>
        <w:t>Енергетска ефикасност значи користење помалку енергија за да се обезбедат исти услуги или производство на стоки. Зголемувањето на енергетската ефикасност понекогаш ги зголемува првичните трошоци, но ги намалува оперативните трошоци, создавајќи заштеди на долг рок. Подобрувањето на ефикасноста може да биде атрактивна опција за намалување на емисиите на стакленички гасови (ГХГ/GHG). Сепак, вие се спротивставувате на политики и регулативи за кои е потребно драстично зголемување на ефикасноста, за да избегнете брзи и скапи промени во вашите производи и процеси.</w:t>
      </w:r>
    </w:p>
    <w:p w:rsidR="00097510" w:rsidRPr="000D08B5" w:rsidRDefault="00D81B2C" w:rsidP="004B21A9">
      <w:pPr>
        <w:pStyle w:val="Bodytext20"/>
        <w:numPr>
          <w:ilvl w:val="0"/>
          <w:numId w:val="1"/>
        </w:numPr>
        <w:shd w:val="clear" w:color="auto" w:fill="auto"/>
        <w:tabs>
          <w:tab w:val="left" w:pos="362"/>
        </w:tabs>
        <w:spacing w:before="0"/>
        <w:ind w:left="400"/>
        <w:jc w:val="both"/>
      </w:pPr>
      <w:r w:rsidRPr="000D08B5">
        <w:rPr>
          <w:rStyle w:val="Bodytext2Bold"/>
          <w:lang w:val="mk-MK" w:bidi="mk-MK"/>
        </w:rPr>
        <w:t xml:space="preserve">Истражете ја електрификацијата на транспортот, објектите и индустријата. </w:t>
      </w:r>
      <w:r w:rsidRPr="000D08B5">
        <w:rPr>
          <w:lang w:bidi="mk-MK"/>
        </w:rPr>
        <w:t xml:space="preserve">Денешната транспортна индустрија во голема мерка зависи од нафтата како гориво за нашите автомобили, камиони, бродови, возови и авиони. Освен тоа, емисиите на стакленички гасови од објектите произлегуваат првенствено од фосилни горива користени за загревање. Доколку транспортот, греењето и индустриските процеси се електрифицираат, би можеле да се </w:t>
      </w:r>
      <w:r w:rsidRPr="000D08B5">
        <w:rPr>
          <w:lang w:bidi="mk-MK"/>
        </w:rPr>
        <w:lastRenderedPageBreak/>
        <w:t>напојуваат со обновлива енергија, доколку тие извори на електрична енергија се сигурни и поевтини од енергијата од фосилни горива.</w:t>
      </w:r>
    </w:p>
    <w:p w:rsidR="00097510" w:rsidRPr="000D08B5" w:rsidRDefault="00D81B2C" w:rsidP="004B21A9">
      <w:pPr>
        <w:pStyle w:val="Bodytext20"/>
        <w:numPr>
          <w:ilvl w:val="0"/>
          <w:numId w:val="1"/>
        </w:numPr>
        <w:shd w:val="clear" w:color="auto" w:fill="auto"/>
        <w:tabs>
          <w:tab w:val="left" w:pos="362"/>
        </w:tabs>
        <w:spacing w:before="0" w:after="140"/>
        <w:ind w:left="400"/>
        <w:jc w:val="both"/>
      </w:pPr>
      <w:r w:rsidRPr="000D08B5">
        <w:rPr>
          <w:rStyle w:val="Bodytext2Bold"/>
          <w:rFonts w:eastAsia="Arial"/>
          <w:lang w:val="mk-MK" w:bidi="mk-MK"/>
        </w:rPr>
        <w:t xml:space="preserve">Поттикнувајте активности што не влијаат директно на вашите индустрии. </w:t>
      </w:r>
      <w:r w:rsidRPr="000D08B5">
        <w:rPr>
          <w:lang w:bidi="mk-MK"/>
        </w:rPr>
        <w:t>Иако разбирате дека климатските промени се опасни, мора да ја штитите и вредноста на акционерскиот капитал. Затоа, залагајте се за политики што можат да ги намалат емисиите на стакленички гасови без да им наштетат на вашите индустрии. Иако CO2 од употребата на фосилни горива најмногу придонесува за климатските промени, метанот (CH</w:t>
      </w:r>
      <w:r w:rsidRPr="000D08B5">
        <w:rPr>
          <w:vertAlign w:val="subscript"/>
          <w:lang w:bidi="mk-MK"/>
        </w:rPr>
        <w:t>4</w:t>
      </w:r>
      <w:r w:rsidRPr="000D08B5">
        <w:rPr>
          <w:lang w:bidi="mk-MK"/>
        </w:rPr>
        <w:t>), диазот оксид (N2O) и другите гасови се моќни стакленички гасови, а нивното влијание расте. Глобалните практики во земјоделството и шумарството многу придонесуваат за емисиите на овие гасови. Вие поддржувате политики за намалување на тие други стакленички гасови, вклучувајќи и емисии од употребата на земјишта, земјоделството и шумарството. Поддржувате напори за намалување на уништувањето на шумите и засадување нови шуми (пошумување).</w:t>
      </w:r>
    </w:p>
    <w:p w:rsidR="00097510" w:rsidRPr="000D08B5" w:rsidRDefault="00D81B2C" w:rsidP="004B21A9">
      <w:pPr>
        <w:pStyle w:val="Bodytext50"/>
        <w:keepNext/>
        <w:widowControl/>
        <w:shd w:val="clear" w:color="auto" w:fill="auto"/>
        <w:spacing w:before="0" w:after="100"/>
      </w:pPr>
      <w:r w:rsidRPr="000D08B5">
        <w:rPr>
          <w:lang w:bidi="mk-MK"/>
        </w:rPr>
        <w:t>Дополнителни фактори</w:t>
      </w:r>
    </w:p>
    <w:p w:rsidR="00097510" w:rsidRPr="000D08B5" w:rsidRDefault="00D81B2C" w:rsidP="004B21A9">
      <w:pPr>
        <w:pStyle w:val="Bodytext20"/>
        <w:shd w:val="clear" w:color="auto" w:fill="auto"/>
        <w:spacing w:before="0"/>
        <w:ind w:firstLine="0"/>
        <w:jc w:val="both"/>
      </w:pPr>
      <w:r w:rsidRPr="000D08B5">
        <w:rPr>
          <w:lang w:bidi="mk-MK"/>
        </w:rPr>
        <w:t>Индустриите што ги претставувате се развивале во ера на евтина енергија, а вашите деловни модели претпоставуваат дека горивото и електричната енергија ќе останат евтини и ќе ги има во изобилство. Драстично зголемување на енергетската ефикасност ќе бара значителни културни промени и нови можности. Некои од вашите клучни засегнати страни, вклучително и актуелни производители на автомобили; како и авио индустријата и индустриите за испорака и шпедиција; може да бидат оштетени од политики кои ги зголемуваат цените на горивата. Некои може нема да опстанат. Во другите сектори, енергетски ефикасните производи може да се продаваат по повисоки цени и да генерираат профит. Енергетската ефикасност не само што ја намалува побарувачката на енергија, туку може да ја подобри и издржливоста на општеството на катастрофи поврзани со климата. На пример, добро изолиран дом ја задржува топлината дури и ако напојувањето со струја е прекинато од невреме. Енергетската интензивност на економијата (потрошената енергија по единица реален БДП) опаѓа со стапка од околу 1,3% годишно, тренд кој се очекува да продолжи и во наредните децении. Некои аналитичари заклучуваат дека енергетската интензивност може да опаѓа и со стапка од 5-7%/годишно (по одредена цена, но не во сите индустрии).</w:t>
      </w:r>
    </w:p>
    <w:p w:rsidR="00097510" w:rsidRPr="000D08B5" w:rsidRDefault="00D81B2C" w:rsidP="004B21A9">
      <w:pPr>
        <w:pStyle w:val="Bodytext20"/>
        <w:shd w:val="clear" w:color="auto" w:fill="auto"/>
        <w:spacing w:before="0"/>
        <w:ind w:firstLine="0"/>
        <w:jc w:val="both"/>
      </w:pPr>
      <w:r w:rsidRPr="000D08B5">
        <w:rPr>
          <w:lang w:bidi="mk-MK"/>
        </w:rPr>
        <w:t>Лидерите од вашата индустрија известуваат дека бројни проекти за енергетска ефикасност имаат кратки периоди на враќање на инвестициите и нудат позитивна нето сегашна вредност, со мал ризик. Иновативните механизми за финансирање можат да реинвестираат заштеди од пониски енергетски трошоци за финансирање нови проекти за енергетска ефикасност, правејќи ги таквите проекти финансиски привлечни за засегнатите страни.</w:t>
      </w:r>
    </w:p>
    <w:p w:rsidR="00097510" w:rsidRPr="000D08B5" w:rsidRDefault="00D81B2C" w:rsidP="004B21A9">
      <w:pPr>
        <w:pStyle w:val="Bodytext20"/>
        <w:shd w:val="clear" w:color="auto" w:fill="auto"/>
        <w:spacing w:before="0"/>
        <w:ind w:firstLine="0"/>
        <w:jc w:val="both"/>
      </w:pPr>
      <w:r w:rsidRPr="000D08B5">
        <w:rPr>
          <w:lang w:bidi="mk-MK"/>
        </w:rPr>
        <w:t>Глобалниот градежен сектор се шири со досега невидена стапка, воден од бројот на население во светот и економскиот раст. Во текот на следните 40 години, се очекува во светот да бидат изградени 230 милијарди квадратни метри нови градби - што е еквивалентно на додавање на површина колку Париз на планетава секоја недела. Потребни се нови политики и стимулации за забрзување на енергетската ефикасност и производство на обновлива енергија во глобалниот градежен сектор, како и за осовременување на постоечките градби. Новите објекти и енергетското осовременување на постоечките објекти, можат да ја намалат потрошувачката на енергија за 25-80% или повеќе, а „нето нула“ енергетските објекти сега се и можни и профитабилни во многу области. Индустриите со голема потрошувачка на енергија, како што се индустриите за железо, челик и цемент станаа поефикасни со користење нова опрема и повторно користење отпадна топлина. Ефикасни мотори и погони, со соодветна големина, можат да заштедат 20-25% енергија. Како и да е, долгиот век на траење на објектите, возилата и инфраструктурата ја ограничува стапката на подобрувања и ја нагласува важноста на осовременувањето, а не само на новите инвестиции.</w:t>
      </w:r>
    </w:p>
    <w:p w:rsidR="00097510" w:rsidRPr="000D08B5" w:rsidRDefault="00D81B2C" w:rsidP="004B21A9">
      <w:pPr>
        <w:pStyle w:val="Bodytext20"/>
        <w:shd w:val="clear" w:color="auto" w:fill="auto"/>
        <w:spacing w:before="0"/>
        <w:ind w:firstLine="0"/>
        <w:jc w:val="both"/>
      </w:pPr>
      <w:r w:rsidRPr="000D08B5">
        <w:rPr>
          <w:lang w:bidi="mk-MK"/>
        </w:rPr>
        <w:t xml:space="preserve">И покрај потенцијалот, морате да бидете претпазливи кон политиките кои можат да наметнат нови трошоци за водење бизнис, вклучително и големи зголемувања на цената на енергијата од </w:t>
      </w:r>
      <w:r w:rsidRPr="000D08B5">
        <w:rPr>
          <w:lang w:bidi="mk-MK"/>
        </w:rPr>
        <w:lastRenderedPageBreak/>
        <w:t>која зависите. Како група која отсекогаш се потпира на иновации, можеби ќе ве интересираат технолошки решенија за намалување на емисиите на стакленички гасови, па поддржувате владини субвенции кои создаваат нови деловни можности.</w:t>
      </w:r>
    </w:p>
    <w:p w:rsidR="00097510" w:rsidRPr="000D08B5" w:rsidRDefault="00D81B2C" w:rsidP="004B21A9">
      <w:pPr>
        <w:pStyle w:val="Bodytext20"/>
        <w:shd w:val="clear" w:color="auto" w:fill="auto"/>
        <w:spacing w:before="0" w:after="0"/>
        <w:ind w:firstLine="0"/>
        <w:jc w:val="both"/>
      </w:pPr>
      <w:r w:rsidRPr="000D08B5">
        <w:rPr>
          <w:lang w:bidi="mk-MK"/>
        </w:rPr>
        <w:t>Знаете дека емисиите на стакленички гасови на глобално ниво мора да бидат намалени за да се избегнат најлошите ефекти од климатските промени. Зголемувањето на морското ниво, поекстремните временски услови и последователните геополитички дислокации претставуваат сериозни ризици за вашите синџири на снабдување, клиенти и вработени. Зголемувањето на штетите од климата, исто така, ја зголемува и веројатноста од постоење на екстремни политики и регулативи кои би ги зголемиле трошоците за енергија и би им наштетиле на вашите индустрии. Додека дејствувате во обид да ги спречите политиките и регулативите кои неправедно ги оптоваруваат вашите индустрии, мора да се обидувате и да ги намалите емисиите на стакленички гасови и да ги забавите климатските промени за да можете да останете профитабилни и да опстанете во свет со зголемено затоплување. Како што има изјавено Пол Полман, извршен директор на Унилевер, „</w:t>
      </w:r>
      <w:r w:rsidRPr="000D08B5">
        <w:rPr>
          <w:rStyle w:val="Bodytext21"/>
          <w:lang w:val="mk-MK" w:bidi="mk-MK"/>
        </w:rPr>
        <w:t>нема профит на мртва планета</w:t>
      </w:r>
      <w:r w:rsidRPr="000D08B5">
        <w:rPr>
          <w:lang w:bidi="mk-MK"/>
        </w:rPr>
        <w:t>.“</w:t>
      </w:r>
    </w:p>
    <w:p w:rsidR="00D81B2C" w:rsidRPr="000D08B5" w:rsidRDefault="00D81B2C">
      <w:pPr>
        <w:pStyle w:val="Bodytext20"/>
        <w:shd w:val="clear" w:color="auto" w:fill="auto"/>
        <w:spacing w:before="0" w:after="0"/>
        <w:ind w:firstLine="0"/>
      </w:pPr>
    </w:p>
    <w:p w:rsidR="00D81B2C" w:rsidRPr="000D08B5" w:rsidRDefault="00D81B2C">
      <w:pPr>
        <w:jc w:val="center"/>
        <w:rPr>
          <w:lang w:val="en-GB"/>
        </w:rPr>
      </w:pPr>
      <w:r w:rsidRPr="000D08B5">
        <w:rPr>
          <w:lang w:bidi="mk-MK"/>
        </w:rPr>
        <w:t>_____________</w:t>
      </w:r>
    </w:p>
    <w:p w:rsidR="00D81B2C" w:rsidRPr="000D08B5" w:rsidRDefault="00D81B2C">
      <w:pPr>
        <w:pStyle w:val="Bodytext20"/>
        <w:shd w:val="clear" w:color="auto" w:fill="auto"/>
        <w:spacing w:before="0" w:after="0"/>
        <w:ind w:firstLine="0"/>
        <w:rPr>
          <w:lang w:val="en-GB"/>
        </w:rPr>
      </w:pPr>
    </w:p>
    <w:p w:rsidR="00D81B2C" w:rsidRPr="000D08B5" w:rsidRDefault="00D81B2C">
      <w:pPr>
        <w:pStyle w:val="Bodytext20"/>
        <w:shd w:val="clear" w:color="auto" w:fill="auto"/>
        <w:spacing w:before="0" w:after="0"/>
        <w:ind w:firstLine="0"/>
        <w:rPr>
          <w:lang w:val="en-GB"/>
        </w:rPr>
      </w:pPr>
    </w:p>
    <w:sectPr w:rsidR="00D81B2C" w:rsidRPr="000D08B5" w:rsidSect="004B21A9">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05C1" w:rsidRDefault="009E05C1">
      <w:r>
        <w:separator/>
      </w:r>
    </w:p>
  </w:endnote>
  <w:endnote w:type="continuationSeparator" w:id="0">
    <w:p w:rsidR="009E05C1" w:rsidRDefault="009E0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8B5" w:rsidRPr="000D08B5" w:rsidRDefault="000D08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B2C" w:rsidRPr="000D08B5" w:rsidRDefault="00D81B2C" w:rsidP="00D81B2C">
    <w:pPr>
      <w:pStyle w:val="Bodytext20"/>
      <w:shd w:val="clear" w:color="auto" w:fill="auto"/>
      <w:spacing w:before="0" w:after="0"/>
      <w:ind w:firstLine="0"/>
      <w:rPr>
        <w:i/>
        <w:sz w:val="20"/>
        <w:szCs w:val="20"/>
      </w:rPr>
    </w:pPr>
    <w:r w:rsidRPr="000D08B5">
      <w:rPr>
        <w:i/>
        <w:sz w:val="20"/>
        <w:szCs w:val="20"/>
        <w:lang w:bidi="mk-MK"/>
      </w:rPr>
      <w:t xml:space="preserve">Изработено од Climate Interactive, MIT Sloan School of Management Sustainability Initiative, ESB Business School и UMass Lowell Climate Change Initiative. Последно ажурирано во септември 2019 година. </w:t>
    </w:r>
    <w:hyperlink r:id="rId1" w:history="1">
      <w:r w:rsidRPr="000D08B5">
        <w:rPr>
          <w:i/>
          <w:sz w:val="20"/>
          <w:szCs w:val="20"/>
          <w:lang w:bidi="mk-MK"/>
        </w:rPr>
        <w:t>www.climateinteractive.org</w:t>
      </w:r>
    </w:hyperlink>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8B5" w:rsidRPr="000D08B5" w:rsidRDefault="000D08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05C1" w:rsidRDefault="009E05C1"/>
  </w:footnote>
  <w:footnote w:type="continuationSeparator" w:id="0">
    <w:p w:rsidR="009E05C1" w:rsidRDefault="009E05C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8B5" w:rsidRPr="000D08B5" w:rsidRDefault="000D08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8B5" w:rsidRPr="000D08B5" w:rsidRDefault="000D08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8B5" w:rsidRPr="000D08B5" w:rsidRDefault="000D08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425732"/>
    <w:multiLevelType w:val="multilevel"/>
    <w:tmpl w:val="A02E6F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510"/>
    <w:rsid w:val="00097510"/>
    <w:rsid w:val="000D08B5"/>
    <w:rsid w:val="004B21A9"/>
    <w:rsid w:val="006C74FC"/>
    <w:rsid w:val="006D1734"/>
    <w:rsid w:val="009E05C1"/>
    <w:rsid w:val="00A54829"/>
    <w:rsid w:val="00A87F67"/>
    <w:rsid w:val="00B019A9"/>
    <w:rsid w:val="00CC0C1E"/>
    <w:rsid w:val="00D81B2C"/>
    <w:rsid w:val="00E232AA"/>
    <w:rsid w:val="00EA51DA"/>
    <w:rsid w:val="00ED0390"/>
    <w:rsid w:val="00ED344D"/>
    <w:rsid w:val="00F25364"/>
    <w:rsid w:val="00FD56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00DBFB-551D-4C71-9AB5-D4F3FD396489}"/>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mk-MK"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en-U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after="120" w:line="269" w:lineRule="exact"/>
      <w:ind w:hanging="400"/>
    </w:pPr>
    <w:rPr>
      <w:sz w:val="22"/>
      <w:szCs w:val="22"/>
    </w:rPr>
  </w:style>
  <w:style w:type="paragraph" w:customStyle="1" w:styleId="Bodytext40">
    <w:name w:val="Body text|4"/>
    <w:basedOn w:val="Normal"/>
    <w:link w:val="Bodytext4"/>
    <w:pPr>
      <w:shd w:val="clear" w:color="auto" w:fill="FFFFFF"/>
      <w:spacing w:before="48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81B2C"/>
    <w:pPr>
      <w:tabs>
        <w:tab w:val="center" w:pos="4513"/>
        <w:tab w:val="right" w:pos="9026"/>
      </w:tabs>
    </w:pPr>
  </w:style>
  <w:style w:type="character" w:customStyle="1" w:styleId="HeaderChar">
    <w:name w:val="Header Char"/>
    <w:basedOn w:val="DefaultParagraphFont"/>
    <w:link w:val="Header"/>
    <w:uiPriority w:val="99"/>
    <w:rsid w:val="00D81B2C"/>
    <w:rPr>
      <w:color w:val="000000"/>
    </w:rPr>
  </w:style>
  <w:style w:type="paragraph" w:styleId="Footer">
    <w:name w:val="footer"/>
    <w:basedOn w:val="Normal"/>
    <w:link w:val="FooterChar"/>
    <w:uiPriority w:val="99"/>
    <w:unhideWhenUsed/>
    <w:rsid w:val="00D81B2C"/>
    <w:pPr>
      <w:tabs>
        <w:tab w:val="center" w:pos="4513"/>
        <w:tab w:val="right" w:pos="9026"/>
      </w:tabs>
    </w:pPr>
  </w:style>
  <w:style w:type="character" w:customStyle="1" w:styleId="FooterChar">
    <w:name w:val="Footer Char"/>
    <w:basedOn w:val="DefaultParagraphFont"/>
    <w:link w:val="Footer"/>
    <w:uiPriority w:val="99"/>
    <w:rsid w:val="00D81B2C"/>
    <w:rPr>
      <w:color w:val="000000"/>
    </w:rPr>
  </w:style>
  <w:style w:type="paragraph" w:styleId="BalloonText">
    <w:name w:val="Balloon Text"/>
    <w:basedOn w:val="Normal"/>
    <w:link w:val="BalloonTextChar"/>
    <w:uiPriority w:val="99"/>
    <w:semiHidden/>
    <w:unhideWhenUsed/>
    <w:rsid w:val="004B21A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1A9"/>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CTJJHAUHWN5E-644613129-870</_dlc_DocId>
    <_dlc_DocIdUrl xmlns="bfc960a6-20da-4c94-8684-71380fca093b">
      <Url>http://dm2016/eesc/2019/_layouts/15/DocIdRedir.aspx?ID=CTJJHAUHWN5E-644613129-870</Url>
      <Description>CTJJHAUHWN5E-644613129-870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2019-11-27T12:00:00+00:00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246</Value>
      <Value>152</Value>
      <Value>162</Value>
      <Value>49</Value>
      <Value>11</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11387</FicheNumber>
    <DocumentPart xmlns="bfc960a6-20da-4c94-8684-71380fca093b">4</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61629391-BAC5-4FE4-8278-2D6619A11B4B}"/>
</file>

<file path=customXml/itemProps2.xml><?xml version="1.0" encoding="utf-8"?>
<ds:datastoreItem xmlns:ds="http://schemas.openxmlformats.org/officeDocument/2006/customXml" ds:itemID="{4E788B19-F01C-4031-9773-DDDE275E4A2A}"/>
</file>

<file path=customXml/itemProps3.xml><?xml version="1.0" encoding="utf-8"?>
<ds:datastoreItem xmlns:ds="http://schemas.openxmlformats.org/officeDocument/2006/customXml" ds:itemID="{DF827318-B48A-4B97-9DC9-1E73592B6EED}"/>
</file>

<file path=customXml/itemProps4.xml><?xml version="1.0" encoding="utf-8"?>
<ds:datastoreItem xmlns:ds="http://schemas.openxmlformats.org/officeDocument/2006/customXml" ds:itemID="{99DBF731-6345-4F07-846E-45A885BFABE1}"/>
</file>

<file path=docProps/app.xml><?xml version="1.0" encoding="utf-8"?>
<Properties xmlns="http://schemas.openxmlformats.org/officeDocument/2006/extended-properties" xmlns:vt="http://schemas.openxmlformats.org/officeDocument/2006/docPropsVTypes">
  <Template>Normal.dotm</Template>
  <TotalTime>0</TotalTime>
  <Pages>3</Pages>
  <Words>1318</Words>
  <Characters>7519</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5 -  Industry and Commerce </dc:title>
  <dc:creator>CDT</dc:creator>
  <cp:keywords>EESC-2019-05163-04-00-INFO-TRA-EN</cp:keywords>
  <dc:description>Rapporteur:  - Original language: EN - Date of document: 27/11/2019 - Date of meeting:  - External documents:  - Administrator: MME Lahousse Chloé</dc:description>
  <cp:lastModifiedBy>Robert Urukalo</cp:lastModifiedBy>
  <cp:revision>2</cp:revision>
  <dcterms:created xsi:type="dcterms:W3CDTF">2019-11-27T14:08:00Z</dcterms:created>
  <dcterms:modified xsi:type="dcterms:W3CDTF">2019-11-27T14:08:00Z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11:18:38, 10:14:49</vt:lpwstr>
  </property>
  <property fmtid="{D5CDD505-2E9C-101B-9397-08002B2CF9AE}" pid="5" name="Pref_User">
    <vt:lpwstr>hnic, htoo</vt:lpwstr>
  </property>
  <property fmtid="{D5CDD505-2E9C-101B-9397-08002B2CF9AE}" pid="6" name="Pref_FileName">
    <vt:lpwstr>EESC-2019-05163-04-00-INFO-TRA-EN-CRR.docx, EESC-2019-05163-04-00-INFO-CRR-EN.docx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22be2231-ba00-4603-b974-1b22357a2946</vt:lpwstr>
  </property>
  <property fmtid="{D5CDD505-2E9C-101B-9397-08002B2CF9AE}" pid="9" name="AvailableTranslations">
    <vt:lpwstr>152;#MK|34ce48bb-063e-4413-a932-50853dc71c5c;#49;#EL|6d4f4d51-af9b-4650-94b4-4276bee85c91;#154;#SQ|5ac17240-8d11-45ec-9893-659b209d7a00;#162;#TR|6e4ededd-04c4-4fa0-94e0-1028050302d5;#153;#SR|7f3a1d13-b985-4bfd-981e-afe31377edff;#246;#ME|925b3da5-5ac0-4b3c-928c-6ef66a5c9b3c;#4;#EN|f2175f21-25d7-44a3-96da-d6a61b075e1b</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4</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EL|6d4f4d51-af9b-4650-94b4-4276bee85c91;EN|f2175f21-25d7-44a3-96da-d6a61b075e1b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49;#EL|6d4f4d51-af9b-4650-94b4-4276bee85c91;#11;#INFO|d9136e7c-93a9-4c42-9d28-92b61e85f80c;#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11387</vt:i4>
  </property>
  <property fmtid="{D5CDD505-2E9C-101B-9397-08002B2CF9AE}" pid="37" name="DocumentLanguage">
    <vt:lpwstr>152;#MK|34ce48bb-063e-4413-a932-50853dc71c5c</vt:lpwstr>
  </property>
  <property fmtid="{D5CDD505-2E9C-101B-9397-08002B2CF9AE}" pid="38" name="_docset_NoMedatataSyncRequired">
    <vt:lpwstr>False</vt:lpwstr>
  </property>
</Properties>
</file>